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宋体" w:eastAsia="黑体"/>
          <w:b w:val="0"/>
          <w:bCs w:val="0"/>
          <w:color w:val="000000" w:themeColor="text1"/>
          <w:sz w:val="44"/>
          <w:szCs w:val="44"/>
          <w:highlight w:val="none"/>
          <w:lang w:val="en-US" w:eastAsia="zh-CN"/>
          <w14:textFill>
            <w14:solidFill>
              <w14:schemeClr w14:val="tx1"/>
            </w14:solidFill>
          </w14:textFill>
        </w:rPr>
      </w:pPr>
      <w:r>
        <w:rPr>
          <w:rFonts w:hint="eastAsia" w:ascii="黑体" w:hAnsi="宋体" w:eastAsia="黑体"/>
          <w:b w:val="0"/>
          <w:bCs w:val="0"/>
          <w:color w:val="000000" w:themeColor="text1"/>
          <w:sz w:val="44"/>
          <w:szCs w:val="44"/>
          <w:highlight w:val="none"/>
          <w:lang w:val="en-US" w:eastAsia="zh-CN"/>
          <w14:textFill>
            <w14:solidFill>
              <w14:schemeClr w14:val="tx1"/>
            </w14:solidFill>
          </w14:textFill>
        </w:rPr>
        <w:t>附件</w:t>
      </w:r>
    </w:p>
    <w:p>
      <w:pPr>
        <w:jc w:val="center"/>
        <w:rPr>
          <w:rFonts w:hint="eastAsia" w:ascii="黑体" w:hAnsi="宋体" w:eastAsia="黑体"/>
          <w:b w:val="0"/>
          <w:bCs w:val="0"/>
          <w:color w:val="000000" w:themeColor="text1"/>
          <w:sz w:val="84"/>
          <w:szCs w:val="84"/>
          <w:highlight w:val="none"/>
          <w:lang w:val="en-US" w:eastAsia="zh-CN"/>
          <w14:textFill>
            <w14:solidFill>
              <w14:schemeClr w14:val="tx1"/>
            </w14:solidFill>
          </w14:textFill>
        </w:rPr>
      </w:pPr>
      <w:r>
        <w:rPr>
          <w:rFonts w:hint="eastAsia" w:ascii="黑体" w:hAnsi="宋体" w:eastAsia="黑体"/>
          <w:b w:val="0"/>
          <w:bCs w:val="0"/>
          <w:color w:val="000000" w:themeColor="text1"/>
          <w:sz w:val="84"/>
          <w:szCs w:val="84"/>
          <w:highlight w:val="none"/>
          <w:lang w:val="en-US" w:eastAsia="zh-CN"/>
          <w14:textFill>
            <w14:solidFill>
              <w14:schemeClr w14:val="tx1"/>
            </w14:solidFill>
          </w14:textFill>
        </w:rPr>
        <w:t>教育项目名称</w:t>
      </w:r>
    </w:p>
    <w:p>
      <w:pPr>
        <w:jc w:val="center"/>
        <w:rPr>
          <w:rFonts w:hint="eastAsia" w:ascii="黑体" w:hAnsi="宋体" w:eastAsia="黑体"/>
          <w:b w:val="0"/>
          <w:bCs w:val="0"/>
          <w:color w:val="000000" w:themeColor="text1"/>
          <w:sz w:val="56"/>
          <w:szCs w:val="56"/>
          <w:highlight w:val="none"/>
          <w14:textFill>
            <w14:solidFill>
              <w14:schemeClr w14:val="tx1"/>
            </w14:solidFill>
          </w14:textFill>
        </w:rPr>
      </w:pPr>
    </w:p>
    <w:p>
      <w:pPr>
        <w:jc w:val="center"/>
        <w:rPr>
          <w:rFonts w:hint="eastAsia" w:ascii="黑体" w:hAnsi="宋体" w:eastAsia="黑体"/>
          <w:b w:val="0"/>
          <w:bCs w:val="0"/>
          <w:color w:val="000000" w:themeColor="text1"/>
          <w:sz w:val="56"/>
          <w:szCs w:val="56"/>
          <w:highlight w:val="none"/>
          <w14:textFill>
            <w14:solidFill>
              <w14:schemeClr w14:val="tx1"/>
            </w14:solidFill>
          </w14:textFill>
        </w:rPr>
      </w:pPr>
    </w:p>
    <w:p>
      <w:pPr>
        <w:jc w:val="center"/>
        <w:rPr>
          <w:rFonts w:ascii="黑体" w:hAnsi="宋体" w:eastAsia="黑体"/>
          <w:b w:val="0"/>
          <w:bCs w:val="0"/>
          <w:color w:val="000000" w:themeColor="text1"/>
          <w:sz w:val="56"/>
          <w:szCs w:val="56"/>
          <w:highlight w:val="none"/>
          <w14:textFill>
            <w14:solidFill>
              <w14:schemeClr w14:val="tx1"/>
            </w14:solidFill>
          </w14:textFill>
        </w:rPr>
      </w:pPr>
      <w:r>
        <w:rPr>
          <w:rFonts w:hint="eastAsia" w:ascii="黑体" w:hAnsi="宋体" w:eastAsia="黑体"/>
          <w:b w:val="0"/>
          <w:bCs w:val="0"/>
          <w:color w:val="000000" w:themeColor="text1"/>
          <w:sz w:val="72"/>
          <w:szCs w:val="72"/>
          <w:highlight w:val="none"/>
          <w14:textFill>
            <w14:solidFill>
              <w14:schemeClr w14:val="tx1"/>
            </w14:solidFill>
          </w14:textFill>
        </w:rPr>
        <w:t>组织培养</w:t>
      </w: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r>
        <w:rPr>
          <w:rFonts w:hint="eastAsia" w:ascii="黑体" w:hAnsi="宋体" w:eastAsia="黑体"/>
          <w:b w:val="0"/>
          <w:bCs w:val="0"/>
          <w:color w:val="000000" w:themeColor="text1"/>
          <w:sz w:val="44"/>
          <w:szCs w:val="44"/>
          <w:highlight w:val="none"/>
          <w:lang w:val="en-US" w:eastAsia="zh-CN"/>
          <w14:textFill>
            <w14:solidFill>
              <w14:schemeClr w14:val="tx1"/>
            </w14:solidFill>
          </w14:textFill>
        </w:rPr>
        <w:t>（空白页）</w:t>
      </w: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both"/>
        <w:rPr>
          <w:rFonts w:hint="eastAsia" w:ascii="黑体" w:hAnsi="宋体" w:eastAsia="黑体"/>
          <w:b w:val="0"/>
          <w:bCs w:val="0"/>
          <w:color w:val="000000" w:themeColor="text1"/>
          <w:sz w:val="44"/>
          <w:szCs w:val="44"/>
          <w:highlight w:val="none"/>
          <w:lang w:val="en-US" w:eastAsia="zh-CN"/>
          <w14:textFill>
            <w14:solidFill>
              <w14:schemeClr w14:val="tx1"/>
            </w14:solidFill>
          </w14:textFill>
        </w:rPr>
      </w:pPr>
    </w:p>
    <w:p>
      <w:pPr>
        <w:jc w:val="center"/>
        <w:rPr>
          <w:rFonts w:ascii="黑体" w:hAnsi="宋体" w:eastAsia="黑体"/>
          <w:b w:val="0"/>
          <w:bCs w:val="0"/>
          <w:color w:val="000000" w:themeColor="text1"/>
          <w:sz w:val="56"/>
          <w:szCs w:val="56"/>
          <w:highlight w:val="none"/>
          <w14:textFill>
            <w14:solidFill>
              <w14:schemeClr w14:val="tx1"/>
            </w14:solidFill>
          </w14:textFill>
        </w:rPr>
      </w:pPr>
    </w:p>
    <w:p>
      <w:pPr>
        <w:jc w:val="center"/>
        <w:rPr>
          <w:rFonts w:ascii="黑体" w:hAnsi="宋体" w:eastAsia="黑体"/>
          <w:b w:val="0"/>
          <w:bCs w:val="0"/>
          <w:color w:val="000000" w:themeColor="text1"/>
          <w:sz w:val="52"/>
          <w:szCs w:val="52"/>
          <w:highlight w:val="none"/>
          <w14:textFill>
            <w14:solidFill>
              <w14:schemeClr w14:val="tx1"/>
            </w14:solidFill>
          </w14:textFill>
        </w:rPr>
      </w:pPr>
    </w:p>
    <w:p>
      <w:pPr>
        <w:jc w:val="center"/>
        <w:rPr>
          <w:rFonts w:ascii="黑体" w:hAnsi="宋体" w:eastAsia="黑体"/>
          <w:b w:val="0"/>
          <w:bCs w:val="0"/>
          <w:color w:val="000000" w:themeColor="text1"/>
          <w:sz w:val="52"/>
          <w:szCs w:val="52"/>
          <w:highlight w:val="none"/>
          <w14:textFill>
            <w14:solidFill>
              <w14:schemeClr w14:val="tx1"/>
            </w14:solidFill>
          </w14:textFill>
        </w:rPr>
      </w:pPr>
    </w:p>
    <w:p>
      <w:pPr>
        <w:spacing w:after="312" w:afterLines="100"/>
        <w:jc w:val="both"/>
        <w:rPr>
          <w:rFonts w:asciiTheme="minorEastAsia" w:hAnsiTheme="minorEastAsia" w:eastAsiaTheme="minorEastAsia"/>
          <w:b w:val="0"/>
          <w:bCs w:val="0"/>
          <w:color w:val="000000" w:themeColor="text1"/>
          <w:sz w:val="24"/>
          <w:highlight w:val="none"/>
          <w14:textFill>
            <w14:solidFill>
              <w14:schemeClr w14:val="tx1"/>
            </w14:solidFill>
          </w14:textFill>
        </w:rPr>
        <w:sectPr>
          <w:footerReference r:id="rId3" w:type="default"/>
          <w:pgSz w:w="11906" w:h="16838"/>
          <w:pgMar w:top="1440" w:right="1800" w:bottom="1440" w:left="1800" w:header="851" w:footer="992" w:gutter="0"/>
          <w:cols w:space="720" w:num="1"/>
          <w:docGrid w:type="lines" w:linePitch="312" w:charSpace="0"/>
        </w:sectPr>
      </w:pPr>
    </w:p>
    <w:p>
      <w:pPr>
        <w:rPr>
          <w:rFonts w:hint="eastAsia" w:ascii="宋体" w:hAnsi="宋体" w:eastAsia="宋体" w:cs="宋体"/>
          <w:b w:val="0"/>
          <w:bCs w:val="0"/>
          <w:color w:val="000000" w:themeColor="text1"/>
          <w:sz w:val="21"/>
          <w:szCs w:val="21"/>
          <w:highlight w:val="none"/>
          <w14:textFill>
            <w14:solidFill>
              <w14:schemeClr w14:val="tx1"/>
            </w14:solidFill>
          </w14:textFill>
        </w:rPr>
      </w:pPr>
    </w:p>
    <w:p>
      <w:pP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一</w:t>
      </w:r>
      <w:r>
        <w:rPr>
          <w:rFonts w:hint="eastAsia" w:ascii="宋体" w:hAnsi="宋体" w:eastAsia="宋体" w:cs="宋体"/>
          <w:b w:val="0"/>
          <w:bCs w:val="0"/>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val="0"/>
          <w:color w:val="000000" w:themeColor="text1"/>
          <w:sz w:val="21"/>
          <w:szCs w:val="21"/>
          <w:highlight w:val="none"/>
          <w14:textFill>
            <w14:solidFill>
              <w14:schemeClr w14:val="tx1"/>
            </w14:solidFill>
          </w14:textFill>
        </w:rPr>
        <w:t>项目</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达成目标：</w:t>
      </w:r>
    </w:p>
    <w:p>
      <w:pPr>
        <w:spacing w:line="360" w:lineRule="auto"/>
        <w:ind w:firstLine="420" w:firstLineChars="200"/>
        <w:rPr>
          <w:rStyle w:val="7"/>
          <w:rFonts w:hint="eastAsia" w:ascii="宋体" w:hAnsi="宋体" w:eastAsia="宋体" w:cs="宋体"/>
          <w:b w:val="0"/>
          <w:bCs w:val="0"/>
          <w:color w:val="000000" w:themeColor="text1"/>
          <w:sz w:val="21"/>
          <w:szCs w:val="21"/>
          <w:highlight w:val="none"/>
          <w14:textFill>
            <w14:solidFill>
              <w14:schemeClr w14:val="tx1"/>
            </w14:solidFill>
          </w14:textFill>
        </w:rPr>
      </w:pPr>
      <w:r>
        <w:rPr>
          <w:rStyle w:val="7"/>
          <w:rFonts w:hint="eastAsia" w:ascii="宋体" w:hAnsi="宋体" w:eastAsia="宋体" w:cs="宋体"/>
          <w:b w:val="0"/>
          <w:bCs w:val="0"/>
          <w:color w:val="000000" w:themeColor="text1"/>
          <w:sz w:val="21"/>
          <w:szCs w:val="21"/>
          <w:highlight w:val="none"/>
          <w14:textFill>
            <w14:solidFill>
              <w14:schemeClr w14:val="tx1"/>
            </w14:solidFill>
          </w14:textFill>
        </w:rPr>
        <w:t>《全民科学素质行动计划纲要实施方案（2016-2020年）》及</w:t>
      </w:r>
      <w:r>
        <w:rPr>
          <w:rFonts w:hint="eastAsia" w:ascii="宋体" w:hAnsi="宋体" w:eastAsia="宋体" w:cs="宋体"/>
          <w:b w:val="0"/>
          <w:bCs w:val="0"/>
          <w:color w:val="000000" w:themeColor="text1"/>
          <w:sz w:val="21"/>
          <w:szCs w:val="21"/>
          <w:highlight w:val="none"/>
          <w14:textFill>
            <w14:solidFill>
              <w14:schemeClr w14:val="tx1"/>
            </w14:solidFill>
          </w14:textFill>
        </w:rPr>
        <w:t>《</w:t>
      </w:r>
      <w:r>
        <w:rPr>
          <w:rStyle w:val="7"/>
          <w:rFonts w:hint="eastAsia" w:ascii="宋体" w:hAnsi="宋体" w:eastAsia="宋体" w:cs="宋体"/>
          <w:b w:val="0"/>
          <w:bCs w:val="0"/>
          <w:color w:val="000000" w:themeColor="text1"/>
          <w:sz w:val="21"/>
          <w:szCs w:val="21"/>
          <w:highlight w:val="none"/>
          <w14:textFill>
            <w14:solidFill>
              <w14:schemeClr w14:val="tx1"/>
            </w14:solidFill>
          </w14:textFill>
        </w:rPr>
        <w:t>国家中长期教育改革和发展规划纲要（2010-2020年）》：</w:t>
      </w:r>
    </w:p>
    <w:p>
      <w:pPr>
        <w:spacing w:line="360" w:lineRule="auto"/>
        <w:ind w:firstLine="420" w:firstLineChars="200"/>
        <w:rPr>
          <w:rStyle w:val="7"/>
          <w:rFonts w:hint="eastAsia" w:ascii="宋体" w:hAnsi="宋体" w:eastAsia="宋体" w:cs="宋体"/>
          <w:b w:val="0"/>
          <w:bCs w:val="0"/>
          <w:color w:val="000000" w:themeColor="text1"/>
          <w:sz w:val="21"/>
          <w:szCs w:val="21"/>
          <w:highlight w:val="none"/>
          <w14:textFill>
            <w14:solidFill>
              <w14:schemeClr w14:val="tx1"/>
            </w14:solidFill>
          </w14:textFill>
        </w:rPr>
      </w:pPr>
      <w:r>
        <w:rPr>
          <w:rStyle w:val="7"/>
          <w:rFonts w:hint="eastAsia" w:ascii="宋体" w:hAnsi="宋体" w:eastAsia="宋体" w:cs="宋体"/>
          <w:b w:val="0"/>
          <w:bCs w:val="0"/>
          <w:color w:val="000000" w:themeColor="text1"/>
          <w:sz w:val="21"/>
          <w:szCs w:val="21"/>
          <w:highlight w:val="none"/>
          <w14:textFill>
            <w14:solidFill>
              <w14:schemeClr w14:val="tx1"/>
            </w14:solidFill>
          </w14:textFill>
        </w:rPr>
        <w:t>根据《全民科学素质行动计划纲要实施方案（2016-2020年）》，适应新时代普惠创新、全民参与科普的要求。科技场馆应具备为学校提供馆校结合的优秀课程资源，把场馆的先进教育理念与学习活动带给学校教师和学生，切实有效地为科技场馆与学校的合作提供新思路和新模式，拓展馆校合作的深度与广度，提升场馆辅导员和学校教师设计、实施教育活动的水平。</w:t>
      </w:r>
    </w:p>
    <w:p>
      <w:pPr>
        <w:spacing w:line="360" w:lineRule="auto"/>
        <w:ind w:firstLine="420" w:firstLineChars="200"/>
        <w:rPr>
          <w:rStyle w:val="7"/>
          <w:rFonts w:hint="eastAsia" w:ascii="宋体" w:hAnsi="宋体" w:eastAsia="宋体" w:cs="宋体"/>
          <w:b w:val="0"/>
          <w:bCs w:val="0"/>
          <w:color w:val="000000" w:themeColor="text1"/>
          <w:sz w:val="21"/>
          <w:szCs w:val="21"/>
          <w:highlight w:val="none"/>
          <w14:textFill>
            <w14:solidFill>
              <w14:schemeClr w14:val="tx1"/>
            </w14:solidFill>
          </w14:textFill>
        </w:rPr>
      </w:pPr>
      <w:r>
        <w:rPr>
          <w:rStyle w:val="7"/>
          <w:rFonts w:hint="eastAsia" w:ascii="宋体" w:hAnsi="宋体" w:eastAsia="宋体" w:cs="宋体"/>
          <w:b w:val="0"/>
          <w:bCs w:val="0"/>
          <w:color w:val="000000" w:themeColor="text1"/>
          <w:sz w:val="21"/>
          <w:szCs w:val="21"/>
          <w:highlight w:val="none"/>
          <w14:textFill>
            <w14:solidFill>
              <w14:schemeClr w14:val="tx1"/>
            </w14:solidFill>
          </w14:textFill>
        </w:rPr>
        <w:t>《国家中长期教育改革和发展规划纲要（2010-2020年）》也要求教育部门要促进教育事业科学发展，全面提高国民素质，加快社会主义现代化进程。</w:t>
      </w:r>
    </w:p>
    <w:p>
      <w:pPr>
        <w:spacing w:line="360" w:lineRule="auto"/>
        <w:ind w:firstLine="420" w:firstLineChars="200"/>
        <w:rPr>
          <w:rStyle w:val="7"/>
          <w:rFonts w:hint="eastAsia" w:ascii="宋体" w:hAnsi="宋体" w:eastAsia="宋体" w:cs="宋体"/>
          <w:b w:val="0"/>
          <w:bCs w:val="0"/>
          <w:color w:val="000000" w:themeColor="text1"/>
          <w:sz w:val="21"/>
          <w:szCs w:val="21"/>
          <w:highlight w:val="none"/>
          <w14:textFill>
            <w14:solidFill>
              <w14:schemeClr w14:val="tx1"/>
            </w14:solidFill>
          </w14:textFill>
        </w:rPr>
      </w:pPr>
      <w:r>
        <w:rPr>
          <w:rStyle w:val="7"/>
          <w:rFonts w:hint="eastAsia" w:ascii="宋体" w:hAnsi="宋体" w:eastAsia="宋体" w:cs="宋体"/>
          <w:b w:val="0"/>
          <w:bCs w:val="0"/>
          <w:color w:val="000000" w:themeColor="text1"/>
          <w:sz w:val="21"/>
          <w:szCs w:val="21"/>
          <w:highlight w:val="none"/>
          <w14:textFill>
            <w14:solidFill>
              <w14:schemeClr w14:val="tx1"/>
            </w14:solidFill>
          </w14:textFill>
        </w:rPr>
        <w:t>适应国家和社会发展需要，遵循教育规律和人才成长规律，</w:t>
      </w:r>
      <w:r>
        <w:rPr>
          <w:rStyle w:val="7"/>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培养</w:t>
      </w:r>
      <w:r>
        <w:rPr>
          <w:rStyle w:val="7"/>
          <w:rFonts w:hint="eastAsia" w:ascii="宋体" w:hAnsi="宋体" w:eastAsia="宋体" w:cs="宋体"/>
          <w:b w:val="0"/>
          <w:bCs w:val="0"/>
          <w:color w:val="000000" w:themeColor="text1"/>
          <w:sz w:val="21"/>
          <w:szCs w:val="21"/>
          <w:highlight w:val="none"/>
          <w14:textFill>
            <w14:solidFill>
              <w14:schemeClr w14:val="tx1"/>
            </w14:solidFill>
          </w14:textFill>
        </w:rPr>
        <w:t>创新人才。</w:t>
      </w:r>
    </w:p>
    <w:p>
      <w:pPr>
        <w:spacing w:line="360" w:lineRule="auto"/>
        <w:rPr>
          <w:rStyle w:val="7"/>
          <w:rFonts w:hint="eastAsia" w:ascii="宋体" w:hAnsi="宋体" w:eastAsia="宋体" w:cs="宋体"/>
          <w:b w:val="0"/>
          <w:bCs w:val="0"/>
          <w:color w:val="000000" w:themeColor="text1"/>
          <w:sz w:val="21"/>
          <w:szCs w:val="21"/>
          <w:highlight w:val="none"/>
          <w14:textFill>
            <w14:solidFill>
              <w14:schemeClr w14:val="tx1"/>
            </w14:solidFill>
          </w14:textFill>
        </w:rPr>
      </w:pPr>
    </w:p>
    <w:p>
      <w:pP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二、与教育部中小学教学大纲联系：</w:t>
      </w:r>
    </w:p>
    <w:p>
      <w:pPr>
        <w:numPr>
          <w:ilvl w:val="0"/>
          <w:numId w:val="0"/>
        </w:numPr>
        <w:spacing w:line="360" w:lineRule="auto"/>
        <w:ind w:firstLine="420" w:firstLineChars="0"/>
        <w:rPr>
          <w:rStyle w:val="7"/>
          <w:rFonts w:hint="eastAsia" w:ascii="宋体" w:hAnsi="宋体" w:eastAsia="宋体" w:cs="宋体"/>
          <w:b w:val="0"/>
          <w:bCs w:val="0"/>
          <w:color w:val="000000" w:themeColor="text1"/>
          <w:sz w:val="21"/>
          <w:szCs w:val="21"/>
          <w:highlight w:val="none"/>
          <w14:textFill>
            <w14:solidFill>
              <w14:schemeClr w14:val="tx1"/>
            </w14:solidFill>
          </w14:textFill>
        </w:rPr>
      </w:pPr>
      <w:r>
        <w:rPr>
          <w:rStyle w:val="7"/>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1、</w:t>
      </w:r>
      <w:r>
        <w:rPr>
          <w:rStyle w:val="7"/>
          <w:rFonts w:hint="eastAsia" w:ascii="宋体" w:hAnsi="宋体" w:eastAsia="宋体" w:cs="宋体"/>
          <w:b w:val="0"/>
          <w:bCs w:val="0"/>
          <w:color w:val="000000" w:themeColor="text1"/>
          <w:sz w:val="21"/>
          <w:szCs w:val="21"/>
          <w:highlight w:val="none"/>
          <w14:textFill>
            <w14:solidFill>
              <w14:schemeClr w14:val="tx1"/>
            </w14:solidFill>
          </w14:textFill>
        </w:rPr>
        <w:t>教育部《中小学理科工作室装备规范》（JY/T0385-2006）：</w:t>
      </w:r>
    </w:p>
    <w:p>
      <w:pPr>
        <w:spacing w:line="360" w:lineRule="auto"/>
        <w:ind w:left="420" w:leftChars="0" w:firstLine="420" w:firstLineChars="0"/>
        <w:rPr>
          <w:rStyle w:val="7"/>
          <w:rFonts w:hint="eastAsia" w:ascii="宋体" w:hAnsi="宋体" w:eastAsia="宋体" w:cs="宋体"/>
          <w:b w:val="0"/>
          <w:bCs w:val="0"/>
          <w:color w:val="000000" w:themeColor="text1"/>
          <w:sz w:val="21"/>
          <w:szCs w:val="21"/>
          <w:highlight w:val="none"/>
          <w14:textFill>
            <w14:solidFill>
              <w14:schemeClr w14:val="tx1"/>
            </w14:solidFill>
          </w14:textFill>
        </w:rPr>
      </w:pPr>
      <w:r>
        <w:rPr>
          <w:rStyle w:val="7"/>
          <w:rFonts w:hint="eastAsia" w:ascii="宋体" w:hAnsi="宋体" w:eastAsia="宋体" w:cs="宋体"/>
          <w:b w:val="0"/>
          <w:bCs w:val="0"/>
          <w:color w:val="000000" w:themeColor="text1"/>
          <w:sz w:val="21"/>
          <w:szCs w:val="21"/>
          <w:highlight w:val="none"/>
          <w14:textFill>
            <w14:solidFill>
              <w14:schemeClr w14:val="tx1"/>
            </w14:solidFill>
          </w14:textFill>
        </w:rPr>
        <w:t>各地可以根据实际情况，创建更有利于培养学生创新精神和实践能力的工作室，满足基础教育课程改革对实验教学的要求。</w:t>
      </w:r>
    </w:p>
    <w:p>
      <w:pPr>
        <w:spacing w:line="360" w:lineRule="auto"/>
        <w:ind w:firstLine="420" w:firstLineChars="200"/>
        <w:jc w:val="center"/>
        <w:rPr>
          <w:rStyle w:val="7"/>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drawing>
          <wp:inline distT="0" distB="0" distL="0" distR="0">
            <wp:extent cx="4904105" cy="4370070"/>
            <wp:effectExtent l="0" t="0" r="317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908344" cy="4373794"/>
                    </a:xfrm>
                    <a:prstGeom prst="rect">
                      <a:avLst/>
                    </a:prstGeom>
                    <a:noFill/>
                    <a:ln>
                      <a:noFill/>
                    </a:ln>
                  </pic:spPr>
                </pic:pic>
              </a:graphicData>
            </a:graphic>
          </wp:inline>
        </w:drawing>
      </w:r>
    </w:p>
    <w:p>
      <w:pPr>
        <w:spacing w:line="360" w:lineRule="auto"/>
        <w:ind w:firstLine="420" w:firstLineChars="0"/>
        <w:rPr>
          <w:rStyle w:val="7"/>
          <w:rFonts w:hint="eastAsia" w:ascii="宋体" w:hAnsi="宋体" w:eastAsia="宋体" w:cs="宋体"/>
          <w:b w:val="0"/>
          <w:bCs w:val="0"/>
          <w:color w:val="000000" w:themeColor="text1"/>
          <w:sz w:val="21"/>
          <w:szCs w:val="21"/>
          <w:highlight w:val="none"/>
          <w14:textFill>
            <w14:solidFill>
              <w14:schemeClr w14:val="tx1"/>
            </w14:solidFill>
          </w14:textFill>
        </w:rPr>
      </w:pPr>
      <w:r>
        <w:rPr>
          <w:rStyle w:val="7"/>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2、</w:t>
      </w:r>
      <w:r>
        <w:rPr>
          <w:rStyle w:val="7"/>
          <w:rFonts w:hint="eastAsia" w:ascii="宋体" w:hAnsi="宋体" w:eastAsia="宋体" w:cs="宋体"/>
          <w:b w:val="0"/>
          <w:bCs w:val="0"/>
          <w:color w:val="000000" w:themeColor="text1"/>
          <w:sz w:val="21"/>
          <w:szCs w:val="21"/>
          <w:highlight w:val="none"/>
          <w14:textFill>
            <w14:solidFill>
              <w14:schemeClr w14:val="tx1"/>
            </w14:solidFill>
          </w14:textFill>
        </w:rPr>
        <w:t>《普通中小学生物课程标准》（2017年版）：加强生物工作室的建设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7"/>
          <w:rFonts w:hint="eastAsia" w:ascii="宋体" w:hAnsi="宋体" w:eastAsia="宋体" w:cs="宋体"/>
          <w:b w:val="0"/>
          <w:bCs w:val="0"/>
          <w:color w:val="000000" w:themeColor="text1"/>
          <w:sz w:val="21"/>
          <w:szCs w:val="21"/>
          <w:highlight w:val="none"/>
          <w14:textFill>
            <w14:solidFill>
              <w14:schemeClr w14:val="tx1"/>
            </w14:solidFill>
          </w14:textFill>
        </w:rPr>
      </w:pPr>
      <w:r>
        <w:rPr>
          <w:rStyle w:val="7"/>
          <w:rFonts w:hint="eastAsia" w:ascii="宋体" w:hAnsi="宋体" w:eastAsia="宋体" w:cs="宋体"/>
          <w:b w:val="0"/>
          <w:bCs w:val="0"/>
          <w:color w:val="000000" w:themeColor="text1"/>
          <w:sz w:val="21"/>
          <w:szCs w:val="21"/>
          <w:highlight w:val="none"/>
          <w14:textFill>
            <w14:solidFill>
              <w14:schemeClr w14:val="tx1"/>
            </w14:solidFill>
          </w14:textFill>
        </w:rPr>
        <w:t>党的十九大明确提出：“要全面贯彻党的教育方针，落实立德树人根本任务，发展素质教育，推进教育公平，培养德智体美全面发展的社会主义建设者和接班人。”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7"/>
          <w:rFonts w:hint="eastAsia" w:ascii="宋体" w:hAnsi="宋体" w:eastAsia="宋体" w:cs="宋体"/>
          <w:b w:val="0"/>
          <w:bCs w:val="0"/>
          <w:color w:val="000000" w:themeColor="text1"/>
          <w:sz w:val="21"/>
          <w:szCs w:val="21"/>
          <w:highlight w:val="none"/>
          <w14:textFill>
            <w14:solidFill>
              <w14:schemeClr w14:val="tx1"/>
            </w14:solidFill>
          </w14:textFill>
        </w:rPr>
      </w:pPr>
      <w:r>
        <w:rPr>
          <w:rStyle w:val="7"/>
          <w:rFonts w:hint="eastAsia" w:ascii="宋体" w:hAnsi="宋体" w:eastAsia="宋体" w:cs="宋体"/>
          <w:b w:val="0"/>
          <w:bCs w:val="0"/>
          <w:color w:val="000000" w:themeColor="text1"/>
          <w:sz w:val="21"/>
          <w:szCs w:val="21"/>
          <w:highlight w:val="none"/>
          <w14:textFill>
            <w14:solidFill>
              <w14:schemeClr w14:val="tx1"/>
            </w14:solidFill>
          </w14:textFill>
        </w:rPr>
        <w:t>为着力培养学生的生物学学科核心素养，尤其是科学探究和生物学实践能力，应加强生物学实验教学和探究式教学，增加学生动手实践和体验的机会。地方和学校应按照课程的要求，加强生物学工作室和学生实践活动基地的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Style w:val="7"/>
          <w:rFonts w:hint="eastAsia" w:ascii="宋体" w:hAnsi="宋体" w:eastAsia="宋体" w:cs="宋体"/>
          <w:b w:val="0"/>
          <w:bCs w:val="0"/>
          <w:color w:val="000000" w:themeColor="text1"/>
          <w:sz w:val="21"/>
          <w:szCs w:val="21"/>
          <w:highlight w:val="none"/>
          <w14:textFill>
            <w14:solidFill>
              <w14:schemeClr w14:val="tx1"/>
            </w14:solidFill>
          </w14:textFill>
        </w:rPr>
      </w:pPr>
      <w:r>
        <w:rPr>
          <w:rStyle w:val="7"/>
          <w:rFonts w:hint="eastAsia" w:ascii="宋体" w:hAnsi="宋体" w:eastAsia="宋体" w:cs="宋体"/>
          <w:b w:val="0"/>
          <w:bCs w:val="0"/>
          <w:color w:val="000000" w:themeColor="text1"/>
          <w:sz w:val="21"/>
          <w:szCs w:val="21"/>
          <w:highlight w:val="none"/>
          <w14:textFill>
            <w14:solidFill>
              <w14:schemeClr w14:val="tx1"/>
            </w14:solidFill>
          </w14:textFill>
        </w:rPr>
        <w:t>为保障必修课程和选择性必修课程教学提示部分的学生实验活动的实施,地方和学校应依据课程要求和学生数量，制订并实施学校生物学工作室数量、主要实验仪器种类和数量等标准，及时购买必要的实验材料和药品，满足学生实验和实践教学活动的需要，增加所有学生的动手实践的机会。为促进学生开展生物学探究活动、生物科技活动，学校应不断完善生物学工作室的建设,及时补充仪器设备和材料用具，保证实验教学经费的投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Style w:val="7"/>
          <w:rFonts w:hint="eastAsia" w:ascii="宋体" w:hAnsi="宋体" w:eastAsia="宋体" w:cs="宋体"/>
          <w:b w:val="0"/>
          <w:bCs w:val="0"/>
          <w:color w:val="000000" w:themeColor="text1"/>
          <w:sz w:val="21"/>
          <w:szCs w:val="21"/>
          <w:highlight w:val="none"/>
          <w14:textFill>
            <w14:solidFill>
              <w14:schemeClr w14:val="tx1"/>
            </w14:solidFill>
          </w14:textFill>
        </w:rPr>
        <w:t>教师也应创造条件，就地取材、因陋就简地开设好生物学实验。有条件的学校应建设专题研究工作室、跨学科综合工作室，满足有学习兴趣的、学有余力的学生的实验活动和科技活动的需要，为他们发展兴趣和继续深造打下基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科技场馆作为非正式科学教育的重要场所，在具有独特的优势，可以充分发挥科技馆在硬件和师资方面的独特优势，通过植物组织培养工作室，为中小学生的生命科学学习提供支持和保障，促进和引领当地中小学科学教育的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植物学是中小学生物探究必不可少的，因其取材方便，操作性强、与生物密切相关特点，中小学生探究植物的生长及调节等知识，对学生特别具有启发意义。实验过程涉及环境对生物的影响，激素对生物生长、分化的影响，涉及到各种植物生理学知识，是这些知识的体验、验证的过程，有利于学生对知识的掌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新课程和新教材的实施对生物教学有更高的要求，而项目建成有利于学生对整个科学素质的提高。</w:t>
      </w:r>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p>
    <w:p>
      <w:pPr>
        <w:widowControl/>
        <w:jc w:val="left"/>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br w:type="page"/>
      </w:r>
    </w:p>
    <w:p>
      <w:pPr>
        <w:numPr>
          <w:ilvl w:val="0"/>
          <w:numId w:val="1"/>
        </w:numP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实验</w:t>
      </w:r>
      <w:r>
        <w:rPr>
          <w:rFonts w:hint="eastAsia" w:ascii="宋体" w:hAnsi="宋体" w:eastAsia="宋体" w:cs="宋体"/>
          <w:b w:val="0"/>
          <w:bCs w:val="0"/>
          <w:color w:val="000000" w:themeColor="text1"/>
          <w:sz w:val="21"/>
          <w:szCs w:val="21"/>
          <w:highlight w:val="none"/>
          <w14:textFill>
            <w14:solidFill>
              <w14:schemeClr w14:val="tx1"/>
            </w14:solidFill>
          </w14:textFill>
        </w:rPr>
        <w:t>工作室</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具体设备组成及相关参数</w:t>
      </w:r>
    </w:p>
    <w:p>
      <w:pPr>
        <w:numPr>
          <w:ilvl w:val="0"/>
          <w:numId w:val="0"/>
        </w:numP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1058"/>
        <w:gridCol w:w="5445"/>
        <w:gridCol w:w="517"/>
        <w:gridCol w:w="501"/>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bookmarkStart w:id="0" w:name="_Hlk47635381"/>
            <w:r>
              <w:rPr>
                <w:rFonts w:hint="eastAsia" w:ascii="宋体" w:hAnsi="宋体" w:eastAsia="宋体" w:cs="宋体"/>
                <w:b w:val="0"/>
                <w:bCs w:val="0"/>
                <w:color w:val="000000" w:themeColor="text1"/>
                <w:kern w:val="0"/>
                <w:sz w:val="21"/>
                <w:szCs w:val="21"/>
                <w:highlight w:val="none"/>
                <w14:textFill>
                  <w14:solidFill>
                    <w14:schemeClr w14:val="tx1"/>
                  </w14:solidFill>
                </w14:textFill>
              </w:rPr>
              <w:t>编号</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名称</w:t>
            </w:r>
          </w:p>
        </w:tc>
        <w:tc>
          <w:tcPr>
            <w:tcW w:w="993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要求指标及特点</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数量</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单位</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4171" w:type="dxa"/>
            <w:gridSpan w:val="6"/>
            <w:shd w:val="clear" w:color="auto" w:fill="FFFF00"/>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工作室实验器材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植物组培用超净工作台</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洁净等级：</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级@&gt;</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µm</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菌落数：&lt;</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个/皿.时</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平均风速：</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/m/s</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振动半峰值&lt;</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µm</w:t>
            </w:r>
          </w:p>
          <w:p>
            <w:pPr>
              <w:widowControl/>
              <w:jc w:val="left"/>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外形参考尺寸：</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台</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2</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电子分析天平</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流线型外形设计，使用高档金属材质外壳</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台</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3</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电子天平</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不同感量（0.1—0.001g）的电子天平</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台</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4</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高压蒸汽灭菌器</w:t>
            </w:r>
          </w:p>
        </w:tc>
        <w:tc>
          <w:tcPr>
            <w:tcW w:w="9932" w:type="dxa"/>
            <w:shd w:val="clear" w:color="auto" w:fill="auto"/>
            <w:vAlign w:val="center"/>
          </w:tcPr>
          <w:p>
            <w:pPr>
              <w:widowControl/>
              <w:jc w:val="left"/>
              <w:textAlignment w:val="center"/>
              <w:rPr>
                <w:rFonts w:hint="eastAsia" w:ascii="宋体" w:hAnsi="宋体" w:eastAsia="宋体" w:cs="宋体"/>
                <w:b w:val="0"/>
                <w:bCs w:val="0"/>
                <w:color w:val="000000" w:themeColor="text1"/>
                <w:kern w:val="0"/>
                <w:sz w:val="21"/>
                <w:szCs w:val="21"/>
                <w:highlight w:val="none"/>
                <w:lang w:bidi="ar"/>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bidi="ar"/>
                <w14:textFill>
                  <w14:solidFill>
                    <w14:schemeClr w14:val="tx1"/>
                  </w14:solidFill>
                </w14:textFill>
              </w:rPr>
              <w:t>高压灭菌锅，</w:t>
            </w:r>
            <w:r>
              <w:rPr>
                <w:rFonts w:hint="eastAsia" w:ascii="宋体" w:hAnsi="宋体" w:eastAsia="宋体" w:cs="宋体"/>
                <w:b w:val="0"/>
                <w:bCs w:val="0"/>
                <w:color w:val="000000" w:themeColor="text1"/>
                <w:kern w:val="0"/>
                <w:sz w:val="21"/>
                <w:szCs w:val="21"/>
                <w:highlight w:val="none"/>
                <w:lang w:val="en-US" w:eastAsia="zh-CN" w:bidi="ar"/>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lang w:bidi="ar"/>
                <w14:textFill>
                  <w14:solidFill>
                    <w14:schemeClr w14:val="tx1"/>
                  </w14:solidFill>
                </w14:textFill>
              </w:rPr>
              <w:t>L加厚不锈钢，内胆尺寸</w:t>
            </w:r>
            <w:r>
              <w:rPr>
                <w:rFonts w:hint="eastAsia" w:ascii="宋体" w:hAnsi="宋体" w:eastAsia="宋体" w:cs="宋体"/>
                <w:b w:val="0"/>
                <w:bCs w:val="0"/>
                <w:color w:val="000000" w:themeColor="text1"/>
                <w:kern w:val="0"/>
                <w:sz w:val="21"/>
                <w:szCs w:val="21"/>
                <w:highlight w:val="none"/>
                <w:lang w:val="en-US" w:eastAsia="zh-CN" w:bidi="ar"/>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lang w:bidi="ar"/>
                <w14:textFill>
                  <w14:solidFill>
                    <w14:schemeClr w14:val="tx1"/>
                  </w14:solidFill>
                </w14:textFill>
              </w:rPr>
              <w:t>mm，防干烧，三阀门，功率</w:t>
            </w:r>
            <w:r>
              <w:rPr>
                <w:rFonts w:hint="eastAsia" w:ascii="宋体" w:hAnsi="宋体" w:eastAsia="宋体" w:cs="宋体"/>
                <w:b w:val="0"/>
                <w:bCs w:val="0"/>
                <w:color w:val="000000" w:themeColor="text1"/>
                <w:kern w:val="0"/>
                <w:sz w:val="21"/>
                <w:szCs w:val="21"/>
                <w:highlight w:val="none"/>
                <w:lang w:val="en-US" w:eastAsia="zh-CN" w:bidi="ar"/>
                <w14:textFill>
                  <w14:solidFill>
                    <w14:schemeClr w14:val="tx1"/>
                  </w14:solidFill>
                </w14:textFill>
              </w:rPr>
              <w:t xml:space="preserve"> **</w:t>
            </w:r>
            <w:r>
              <w:rPr>
                <w:rFonts w:hint="eastAsia" w:ascii="宋体" w:hAnsi="宋体" w:eastAsia="宋体" w:cs="宋体"/>
                <w:b w:val="0"/>
                <w:bCs w:val="0"/>
                <w:color w:val="000000" w:themeColor="text1"/>
                <w:kern w:val="0"/>
                <w:sz w:val="21"/>
                <w:szCs w:val="21"/>
                <w:highlight w:val="none"/>
                <w:lang w:bidi="ar"/>
                <w14:textFill>
                  <w14:solidFill>
                    <w14:schemeClr w14:val="tx1"/>
                  </w14:solidFill>
                </w14:textFill>
              </w:rPr>
              <w:t>KW</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台</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5</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炼苗架</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bidi="ar"/>
                <w14:textFill>
                  <w14:solidFill>
                    <w14:schemeClr w14:val="tx1"/>
                  </w14:solidFill>
                </w14:textFill>
              </w:rPr>
              <w:t>符合植物栽培、种子发芽、苗木、等</w:t>
            </w:r>
            <w:r>
              <w:rPr>
                <w:rFonts w:hint="eastAsia" w:ascii="宋体" w:hAnsi="宋体" w:eastAsia="宋体" w:cs="宋体"/>
                <w:b w:val="0"/>
                <w:bCs w:val="0"/>
                <w:color w:val="000000" w:themeColor="text1"/>
                <w:kern w:val="0"/>
                <w:sz w:val="21"/>
                <w:szCs w:val="21"/>
                <w:highlight w:val="none"/>
                <w:lang w:bidi="ar"/>
                <w14:textFill>
                  <w14:solidFill>
                    <w14:schemeClr w14:val="tx1"/>
                  </w14:solidFill>
                </w14:textFill>
              </w:rPr>
              <w:br w:type="textWrapping"/>
            </w:r>
            <w:r>
              <w:rPr>
                <w:rFonts w:hint="eastAsia" w:ascii="宋体" w:hAnsi="宋体" w:eastAsia="宋体" w:cs="宋体"/>
                <w:b w:val="0"/>
                <w:bCs w:val="0"/>
                <w:color w:val="000000" w:themeColor="text1"/>
                <w:kern w:val="0"/>
                <w:sz w:val="21"/>
                <w:szCs w:val="21"/>
                <w:highlight w:val="none"/>
                <w:lang w:bidi="ar"/>
                <w14:textFill>
                  <w14:solidFill>
                    <w14:schemeClr w14:val="tx1"/>
                  </w14:solidFill>
                </w14:textFill>
              </w:rPr>
              <w:t>研究的理想实验设备；</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台</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6</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实验用工作室纯水器</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bidi="ar"/>
                <w14:textFill>
                  <w14:solidFill>
                    <w14:schemeClr w14:val="tx1"/>
                  </w14:solidFill>
                </w14:textFill>
              </w:rPr>
              <w:t>功率：70W（±2%）</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台</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7</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组培移液器</w:t>
            </w:r>
          </w:p>
        </w:tc>
        <w:tc>
          <w:tcPr>
            <w:tcW w:w="9932" w:type="dxa"/>
            <w:shd w:val="clear" w:color="auto" w:fill="auto"/>
            <w:vAlign w:val="center"/>
          </w:tcPr>
          <w:p>
            <w:pPr>
              <w:widowControl/>
              <w:jc w:val="left"/>
              <w:textAlignment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轻便且设计符合人机工效学， 数字视窗，令所设定量程一目了然 ，不锈钢退关装置，美观耐用，附送使用附件工具</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8</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组培移液器架</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平板式，亚克力材料</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个</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9</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玻璃用具</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 培养器具：试管、三角瓶、培养皿、扁瓶</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2、其它器皿：滴瓶、称量瓶、漏斗、玻璃棒、注射器等。</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0</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金属用具</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1、各种型号各种规格的镊子：如尖头镊子、状枪镊子、扁头镊子、弯头镊子等。</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2、各种规格的剪刀。</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3、接种针。</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1</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试剂盒</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矮牵牛组培试剂盒、菊花的组培试剂盒、月季组培试剂盒。试剂盒均为</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组/次的用量。</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2</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辅助用品</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1、化学实验室常用的各种试管刷、洗液、滤纸、试管架等。</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2、小推车和瓷盘或塑料盒、记号笔、标签、牛皮纸、胶布。</w:t>
            </w:r>
          </w:p>
        </w:tc>
        <w:tc>
          <w:tcPr>
            <w:tcW w:w="629"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3</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常用药品</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1、表面消毒药品：医用酒精、工业酒精、生汞。</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2、培养基能量物质：蔗糖等糖类物质。</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b w:val="0"/>
                <w:bCs w:val="0"/>
                <w:color w:val="000000" w:themeColor="text1"/>
                <w:kern w:val="0"/>
                <w:sz w:val="21"/>
                <w:szCs w:val="21"/>
                <w:highlight w:val="none"/>
                <w14:textFill>
                  <w14:solidFill>
                    <w14:schemeClr w14:val="tx1"/>
                  </w14:solidFill>
                </w14:textFill>
              </w:rPr>
              <w:t>、培养基酸碱度调节物质：盐酸、烧碱。</w:t>
            </w:r>
          </w:p>
        </w:tc>
        <w:tc>
          <w:tcPr>
            <w:tcW w:w="629"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4</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组培接种服</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细胞接种专用绿色,超厚，可反复灭菌。</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5</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组培专用矮牵牛无菌苗</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组培专用无菌苗。</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瓶</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16</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组培专用电冰箱</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双变频对开门冰箱，容积不小于300升。</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台</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17</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观察实验用</w:t>
            </w:r>
          </w:p>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显微镜</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照明系统：透射、落射双照明系统</w:t>
            </w:r>
          </w:p>
          <w:p>
            <w:pPr>
              <w:widowControl/>
              <w:jc w:val="left"/>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目镜：</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物镜组合：消色差物镜组：4X、10X、40X</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观察方式：直筒单目</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驱动方式：3节5号电池</w:t>
            </w:r>
          </w:p>
        </w:tc>
        <w:tc>
          <w:tcPr>
            <w:tcW w:w="629"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台</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18</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实验用白大褂</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材质:涤棉</w:t>
            </w:r>
          </w:p>
        </w:tc>
        <w:tc>
          <w:tcPr>
            <w:tcW w:w="629"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19</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实验室台柜</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台面采用实芯理化板，四周做加厚磨边处理，抽屉导轨为承重型三折导轨，五金配件为国内品牌。</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20</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实验室凳子</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PU防静电圆凳面(直径</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MM)；</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黑色烤漆底盘(孔位10*10CM)</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只</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2</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1</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实验室讲台</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产品规格：长</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，宽</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，高</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val="0"/>
                <w:bCs w:val="0"/>
                <w:color w:val="000000" w:themeColor="text1"/>
                <w:kern w:val="0"/>
                <w:sz w:val="21"/>
                <w:szCs w:val="21"/>
                <w:highlight w:val="none"/>
                <w14:textFill>
                  <w14:solidFill>
                    <w14:schemeClr w14:val="tx1"/>
                  </w14:solidFill>
                </w14:textFill>
              </w:rPr>
              <w:t>mm，台面：采用实木板，上面铺有钢化玻璃，柜体干燥处理。台面下有抽屉和收纳柜。</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22</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实验室仪器柜</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材质说明：采用改性PP改性材料增加强度，注塑模一次性成型，表面沙面和光面相结合处理，</w:t>
            </w:r>
          </w:p>
        </w:tc>
        <w:tc>
          <w:tcPr>
            <w:tcW w:w="629"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组</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23</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实验室衣物柜</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多门更衣柜</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层数：2层</w:t>
            </w:r>
          </w:p>
          <w:p>
            <w:pPr>
              <w:widowControl/>
              <w:jc w:val="left"/>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开门数量：双门</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闭合方式：平开门式</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功能：可移动，防盗/带锁</w:t>
            </w:r>
          </w:p>
        </w:tc>
        <w:tc>
          <w:tcPr>
            <w:tcW w:w="629"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24</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实验台</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尺寸(mm):</w:t>
            </w: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E1级环保板材</w:t>
            </w:r>
          </w:p>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优质实芯理化板</w:t>
            </w:r>
          </w:p>
        </w:tc>
        <w:tc>
          <w:tcPr>
            <w:tcW w:w="629"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台</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25</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实验室电脑</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学生实验设计用带鼠标键盘</w:t>
            </w:r>
          </w:p>
        </w:tc>
        <w:tc>
          <w:tcPr>
            <w:tcW w:w="629"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台</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26</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实验室</w:t>
            </w:r>
          </w:p>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笔记本电脑</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14英寸</w:t>
            </w:r>
          </w:p>
        </w:tc>
        <w:tc>
          <w:tcPr>
            <w:tcW w:w="629"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台</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27</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实验装备</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无菌操作帽、鞋套、手套等。</w:t>
            </w:r>
          </w:p>
        </w:tc>
        <w:tc>
          <w:tcPr>
            <w:tcW w:w="629"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套</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28</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学生活动桌</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学生探究实验用长桌，耐强酸碱、耐磨损、耐油、耐热、耐腐蚀等特点，具有无毒、无味、抗老化、防霉、防水、防火、防潮等特点。</w:t>
            </w:r>
          </w:p>
        </w:tc>
        <w:tc>
          <w:tcPr>
            <w:tcW w:w="629"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张</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29</w:t>
            </w:r>
          </w:p>
        </w:tc>
        <w:tc>
          <w:tcPr>
            <w:tcW w:w="1834"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实验室工具车</w:t>
            </w:r>
          </w:p>
        </w:tc>
        <w:tc>
          <w:tcPr>
            <w:tcW w:w="9932" w:type="dxa"/>
            <w:shd w:val="clear" w:color="auto" w:fill="auto"/>
            <w:vAlign w:val="center"/>
          </w:tcPr>
          <w:p>
            <w:pPr>
              <w:widowControl/>
              <w:jc w:val="left"/>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材质: 金属，结构: 支架结构，万向轮</w:t>
            </w:r>
          </w:p>
        </w:tc>
        <w:tc>
          <w:tcPr>
            <w:tcW w:w="629"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kern w:val="0"/>
                <w:sz w:val="21"/>
                <w:szCs w:val="21"/>
                <w:highlight w:val="none"/>
                <w:lang w:val="en-US" w:eastAsia="zh-CN"/>
                <w14:textFill>
                  <w14:solidFill>
                    <w14:schemeClr w14:val="tx1"/>
                  </w14:solidFill>
                </w14:textFill>
              </w:rPr>
              <w:t>*</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r>
              <w:rPr>
                <w:rFonts w:hint="eastAsia" w:ascii="宋体" w:hAnsi="宋体" w:eastAsia="宋体" w:cs="宋体"/>
                <w:b w:val="0"/>
                <w:bCs w:val="0"/>
                <w:color w:val="000000" w:themeColor="text1"/>
                <w:kern w:val="0"/>
                <w:sz w:val="21"/>
                <w:szCs w:val="21"/>
                <w:highlight w:val="none"/>
                <w14:textFill>
                  <w14:solidFill>
                    <w14:schemeClr w14:val="tx1"/>
                  </w14:solidFill>
                </w14:textFill>
              </w:rPr>
              <w:t>个</w:t>
            </w:r>
          </w:p>
        </w:tc>
        <w:tc>
          <w:tcPr>
            <w:tcW w:w="592" w:type="dxa"/>
            <w:shd w:val="clear" w:color="auto" w:fill="auto"/>
            <w:vAlign w:val="center"/>
          </w:tcPr>
          <w:p>
            <w:pPr>
              <w:widowControl/>
              <w:jc w:val="center"/>
              <w:rPr>
                <w:rFonts w:hint="eastAsia" w:ascii="宋体" w:hAnsi="宋体" w:eastAsia="宋体" w:cs="宋体"/>
                <w:b w:val="0"/>
                <w:bCs w:val="0"/>
                <w:color w:val="000000" w:themeColor="text1"/>
                <w:kern w:val="0"/>
                <w:sz w:val="21"/>
                <w:szCs w:val="21"/>
                <w:highlight w:val="none"/>
                <w14:textFill>
                  <w14:solidFill>
                    <w14:schemeClr w14:val="tx1"/>
                  </w14:solidFill>
                </w14:textFill>
              </w:rPr>
            </w:pPr>
          </w:p>
        </w:tc>
      </w:tr>
      <w:bookmarkEnd w:id="0"/>
    </w:tbl>
    <w:p>
      <w:pP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四、课程内容安排：</w:t>
      </w:r>
    </w:p>
    <w:p>
      <w:pPr>
        <w:spacing w:line="360" w:lineRule="auto"/>
        <w:ind w:left="239" w:leftChars="114" w:firstLine="210" w:firstLineChars="1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课程内容需达到几个预期目标：</w:t>
      </w:r>
    </w:p>
    <w:p>
      <w:pPr>
        <w:pStyle w:val="8"/>
        <w:numPr>
          <w:ilvl w:val="0"/>
          <w:numId w:val="2"/>
        </w:numPr>
        <w:spacing w:line="360" w:lineRule="auto"/>
        <w:ind w:firstLineChars="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满足馆校结合课程的需要。</w:t>
      </w:r>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r>
        <w:rPr>
          <w:rFonts w:hint="eastAsia" w:ascii="宋体" w:hAnsi="宋体" w:eastAsia="宋体" w:cs="宋体"/>
          <w:b w:val="0"/>
          <w:bCs w:val="0"/>
          <w:color w:val="000000" w:themeColor="text1"/>
          <w:sz w:val="21"/>
          <w:szCs w:val="21"/>
          <w:highlight w:val="none"/>
          <w14:textFill>
            <w14:solidFill>
              <w14:schemeClr w14:val="tx1"/>
            </w14:solidFill>
          </w14:textFill>
        </w:rPr>
        <w:tab/>
      </w:r>
      <w:r>
        <w:rPr>
          <w:rFonts w:hint="eastAsia" w:ascii="宋体" w:hAnsi="宋体" w:eastAsia="宋体" w:cs="宋体"/>
          <w:b w:val="0"/>
          <w:bCs w:val="0"/>
          <w:color w:val="000000" w:themeColor="text1"/>
          <w:sz w:val="21"/>
          <w:szCs w:val="21"/>
          <w:highlight w:val="none"/>
          <w14:textFill>
            <w14:solidFill>
              <w14:schemeClr w14:val="tx1"/>
            </w14:solidFill>
          </w14:textFill>
        </w:rPr>
        <w:t>满足学生拓展学习，深入学习的需要。</w:t>
      </w:r>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3．布局及环境上满足小组学习，探究学习的需要，创造学习氛围。</w:t>
      </w:r>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 为青少年创新大赛提供实验支撑。</w:t>
      </w:r>
    </w:p>
    <w:p>
      <w:pPr>
        <w:numPr>
          <w:ilvl w:val="0"/>
          <w:numId w:val="0"/>
        </w:numPr>
        <w:spacing w:line="360" w:lineRule="auto"/>
        <w:ind w:leftChars="0"/>
        <w:rPr>
          <w:rFonts w:hint="eastAsia" w:ascii="宋体" w:hAnsi="宋体" w:eastAsia="宋体" w:cs="宋体"/>
          <w:b w:val="0"/>
          <w:bCs w:val="0"/>
          <w:color w:val="000000" w:themeColor="text1"/>
          <w:sz w:val="21"/>
          <w:szCs w:val="21"/>
          <w:highlight w:val="none"/>
          <w14:textFill>
            <w14:solidFill>
              <w14:schemeClr w14:val="tx1"/>
            </w14:solidFill>
          </w14:textFill>
        </w:rPr>
      </w:pPr>
    </w:p>
    <w:p>
      <w:pPr>
        <w:numPr>
          <w:ilvl w:val="0"/>
          <w:numId w:val="0"/>
        </w:numPr>
        <w:spacing w:line="360" w:lineRule="auto"/>
        <w:ind w:leftChars="0"/>
        <w:rPr>
          <w:rFonts w:hint="eastAsia" w:ascii="宋体" w:hAnsi="宋体" w:eastAsia="宋体" w:cs="宋体"/>
          <w:b w:val="0"/>
          <w:bCs w:val="0"/>
          <w:color w:val="000000" w:themeColor="text1"/>
          <w:sz w:val="21"/>
          <w:szCs w:val="21"/>
          <w:highlight w:val="none"/>
          <w14:textFill>
            <w14:solidFill>
              <w14:schemeClr w14:val="tx1"/>
            </w14:solidFill>
          </w14:textFill>
        </w:rPr>
      </w:pPr>
    </w:p>
    <w:p>
      <w:pPr>
        <w:numPr>
          <w:ilvl w:val="0"/>
          <w:numId w:val="0"/>
        </w:numPr>
        <w:spacing w:line="360" w:lineRule="auto"/>
        <w:ind w:leftChars="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课程开设</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内容</w:t>
      </w:r>
      <w:r>
        <w:rPr>
          <w:rFonts w:hint="eastAsia" w:ascii="宋体" w:hAnsi="宋体" w:eastAsia="宋体" w:cs="宋体"/>
          <w:b w:val="0"/>
          <w:bCs w:val="0"/>
          <w:color w:val="000000" w:themeColor="text1"/>
          <w:sz w:val="21"/>
          <w:szCs w:val="21"/>
          <w:highlight w:val="none"/>
          <w14:textFill>
            <w14:solidFill>
              <w14:schemeClr w14:val="tx1"/>
            </w14:solidFill>
          </w14:textFill>
        </w:rPr>
        <w:t>：</w:t>
      </w:r>
    </w:p>
    <w:tbl>
      <w:tblPr>
        <w:tblStyle w:val="4"/>
        <w:tblW w:w="9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919"/>
        <w:gridCol w:w="3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2" w:type="dxa"/>
            <w:vAlign w:val="center"/>
          </w:tcPr>
          <w:p>
            <w:pPr>
              <w:spacing w:line="36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序号</w:t>
            </w:r>
          </w:p>
        </w:tc>
        <w:tc>
          <w:tcPr>
            <w:tcW w:w="5919" w:type="dxa"/>
            <w:vAlign w:val="center"/>
          </w:tcPr>
          <w:p>
            <w:pPr>
              <w:spacing w:line="36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课程内容及活动</w:t>
            </w:r>
            <w:r>
              <w:rPr>
                <w:rFonts w:hint="eastAsia" w:ascii="宋体" w:hAnsi="宋体" w:eastAsia="宋体" w:cs="宋体"/>
                <w:b w:val="0"/>
                <w:bCs w:val="0"/>
                <w:color w:val="000000" w:themeColor="text1"/>
                <w:sz w:val="21"/>
                <w:szCs w:val="21"/>
                <w:highlight w:val="none"/>
                <w14:textFill>
                  <w14:solidFill>
                    <w14:schemeClr w14:val="tx1"/>
                  </w14:solidFill>
                </w14:textFill>
              </w:rPr>
              <w:t>主题名称</w:t>
            </w:r>
          </w:p>
        </w:tc>
        <w:tc>
          <w:tcPr>
            <w:tcW w:w="3348" w:type="dxa"/>
            <w:vAlign w:val="center"/>
          </w:tcPr>
          <w:p>
            <w:pPr>
              <w:spacing w:line="36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说明和备注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12"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1</w:t>
            </w:r>
          </w:p>
        </w:tc>
        <w:tc>
          <w:tcPr>
            <w:tcW w:w="5919"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学生</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组织培养</w:t>
            </w:r>
            <w:r>
              <w:rPr>
                <w:rFonts w:hint="eastAsia" w:ascii="宋体" w:hAnsi="宋体" w:eastAsia="宋体" w:cs="宋体"/>
                <w:b w:val="0"/>
                <w:bCs w:val="0"/>
                <w:color w:val="000000" w:themeColor="text1"/>
                <w:sz w:val="21"/>
                <w:szCs w:val="21"/>
                <w:highlight w:val="none"/>
                <w14:textFill>
                  <w14:solidFill>
                    <w14:schemeClr w14:val="tx1"/>
                  </w14:solidFill>
                </w14:textFill>
              </w:rPr>
              <w:t>探究实验</w:t>
            </w:r>
          </w:p>
        </w:tc>
        <w:tc>
          <w:tcPr>
            <w:tcW w:w="3348"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12"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2</w:t>
            </w:r>
          </w:p>
        </w:tc>
        <w:tc>
          <w:tcPr>
            <w:tcW w:w="5919"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组织培养</w:t>
            </w:r>
            <w:r>
              <w:rPr>
                <w:rFonts w:hint="eastAsia" w:ascii="宋体" w:hAnsi="宋体" w:eastAsia="宋体" w:cs="宋体"/>
                <w:b w:val="0"/>
                <w:bCs w:val="0"/>
                <w:color w:val="000000" w:themeColor="text1"/>
                <w:sz w:val="21"/>
                <w:szCs w:val="21"/>
                <w:highlight w:val="none"/>
                <w14:textFill>
                  <w14:solidFill>
                    <w14:schemeClr w14:val="tx1"/>
                  </w14:solidFill>
                </w14:textFill>
              </w:rPr>
              <w:t>小型项目制课程</w:t>
            </w:r>
          </w:p>
        </w:tc>
        <w:tc>
          <w:tcPr>
            <w:tcW w:w="3348"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2"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3</w:t>
            </w:r>
          </w:p>
        </w:tc>
        <w:tc>
          <w:tcPr>
            <w:tcW w:w="5919"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组织培养的</w:t>
            </w:r>
            <w:r>
              <w:rPr>
                <w:rFonts w:hint="eastAsia" w:ascii="宋体" w:hAnsi="宋体" w:eastAsia="宋体" w:cs="宋体"/>
                <w:b w:val="0"/>
                <w:bCs w:val="0"/>
                <w:color w:val="000000" w:themeColor="text1"/>
                <w:sz w:val="21"/>
                <w:szCs w:val="21"/>
                <w:highlight w:val="none"/>
                <w14:textFill>
                  <w14:solidFill>
                    <w14:schemeClr w14:val="tx1"/>
                  </w14:solidFill>
                </w14:textFill>
              </w:rPr>
              <w:t>形式及实验</w:t>
            </w:r>
          </w:p>
        </w:tc>
        <w:tc>
          <w:tcPr>
            <w:tcW w:w="3348"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12"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4</w:t>
            </w:r>
          </w:p>
        </w:tc>
        <w:tc>
          <w:tcPr>
            <w:tcW w:w="5919"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组织培养报告</w:t>
            </w:r>
          </w:p>
        </w:tc>
        <w:tc>
          <w:tcPr>
            <w:tcW w:w="3348"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2"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5919"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c>
          <w:tcPr>
            <w:tcW w:w="3348" w:type="dxa"/>
            <w:vAlign w:val="center"/>
          </w:tcPr>
          <w:p>
            <w:pPr>
              <w:snapToGrid w:val="0"/>
              <w:spacing w:line="300" w:lineRule="auto"/>
              <w:jc w:val="cente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w:t>
            </w:r>
          </w:p>
        </w:tc>
      </w:tr>
    </w:tbl>
    <w:p>
      <w:pPr>
        <w:spacing w:before="156" w:beforeLines="50" w:line="30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p>
      <w:pPr>
        <w:numPr>
          <w:ilvl w:val="0"/>
          <w:numId w:val="0"/>
        </w:numPr>
        <w:spacing w:line="360" w:lineRule="auto"/>
        <w:ind w:leftChars="0"/>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numPr>
          <w:ilvl w:val="0"/>
          <w:numId w:val="0"/>
        </w:numPr>
        <w:spacing w:line="360" w:lineRule="auto"/>
        <w:ind w:leftChars="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五、</w:t>
      </w:r>
      <w:r>
        <w:rPr>
          <w:rFonts w:hint="eastAsia" w:ascii="宋体" w:hAnsi="宋体" w:eastAsia="宋体" w:cs="宋体"/>
          <w:b w:val="0"/>
          <w:bCs w:val="0"/>
          <w:color w:val="000000" w:themeColor="text1"/>
          <w:sz w:val="21"/>
          <w:szCs w:val="21"/>
          <w:highlight w:val="none"/>
          <w14:textFill>
            <w14:solidFill>
              <w14:schemeClr w14:val="tx1"/>
            </w14:solidFill>
          </w14:textFill>
        </w:rPr>
        <w:t>工作室整体建设</w:t>
      </w: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环境</w:t>
      </w:r>
      <w:r>
        <w:rPr>
          <w:rFonts w:hint="eastAsia" w:ascii="宋体" w:hAnsi="宋体" w:eastAsia="宋体" w:cs="宋体"/>
          <w:b w:val="0"/>
          <w:bCs w:val="0"/>
          <w:color w:val="000000" w:themeColor="text1"/>
          <w:sz w:val="21"/>
          <w:szCs w:val="21"/>
          <w:highlight w:val="none"/>
          <w14:textFill>
            <w14:solidFill>
              <w14:schemeClr w14:val="tx1"/>
            </w14:solidFill>
          </w14:textFill>
        </w:rPr>
        <w:t>说明</w:t>
      </w:r>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该工作室可进行较高要求的无菌操作，便于开展植物的接种及培养，整个工作室由教学与无菌接种区、准备和活动区两个区域组成。教学与无菌接种区完成实验的相关教学与进行组培的接种及相关的无菌操作，放置超净工作台；准备和活动区是进行准备与观察。适用于开展小组探究实验活动或16人的上课教学。</w:t>
      </w:r>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bookmarkStart w:id="1" w:name="_GoBack"/>
      <w:bookmarkEnd w:id="1"/>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工作室建设标准参考</w:t>
      </w:r>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 xml:space="preserve">● GB 19489—2004 工作室 生物安全通用要求 </w:t>
      </w:r>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 WS 233—2002 组织培养和生物医学工作室生物安全通用准则</w:t>
      </w:r>
    </w:p>
    <w:p>
      <w:pPr>
        <w:spacing w:line="360" w:lineRule="auto"/>
        <w:ind w:firstLine="420" w:firstLineChars="200"/>
        <w:rPr>
          <w:rFonts w:hint="eastAsia" w:ascii="宋体" w:hAnsi="宋体" w:eastAsia="宋体" w:cs="宋体"/>
          <w:b w:val="0"/>
          <w:bCs w:val="0"/>
          <w:color w:val="000000" w:themeColor="text1"/>
          <w:sz w:val="21"/>
          <w:szCs w:val="21"/>
          <w:highlight w:val="none"/>
          <w14:textFill>
            <w14:solidFill>
              <w14:schemeClr w14:val="tx1"/>
            </w14:solidFill>
          </w14:textFill>
        </w:rPr>
      </w:pPr>
      <w:r>
        <w:rPr>
          <w:rFonts w:hint="eastAsia" w:ascii="宋体" w:hAnsi="宋体" w:eastAsia="宋体" w:cs="宋体"/>
          <w:b w:val="0"/>
          <w:bCs w:val="0"/>
          <w:color w:val="000000" w:themeColor="text1"/>
          <w:sz w:val="21"/>
          <w:szCs w:val="21"/>
          <w:highlight w:val="none"/>
          <w14:textFill>
            <w14:solidFill>
              <w14:schemeClr w14:val="tx1"/>
            </w14:solidFill>
          </w14:textFill>
        </w:rPr>
        <w:t>● GB/T27403-2008工作室质量控制规范理解与实施</w:t>
      </w:r>
    </w:p>
    <w:p>
      <w:pPr>
        <w:spacing w:before="156" w:beforeLines="50" w:line="300" w:lineRule="auto"/>
        <w:jc w:val="left"/>
        <w:rPr>
          <w:rFonts w:hint="eastAsia" w:ascii="宋体" w:hAnsi="宋体" w:eastAsia="宋体" w:cs="宋体"/>
          <w:b w:val="0"/>
          <w:bCs w:val="0"/>
          <w:color w:val="000000" w:themeColor="text1"/>
          <w:sz w:val="21"/>
          <w:szCs w:val="21"/>
          <w:highlight w:val="none"/>
          <w14:textFill>
            <w14:solidFill>
              <w14:schemeClr w14:val="tx1"/>
            </w14:solidFill>
          </w14:textFill>
        </w:rPr>
      </w:pPr>
    </w:p>
    <w:p>
      <w:pPr>
        <w:numPr>
          <w:ilvl w:val="0"/>
          <w:numId w:val="0"/>
        </w:numPr>
        <w:spacing w:line="360" w:lineRule="auto"/>
        <w:ind w:leftChars="0"/>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六、方案总体报价：</w:t>
      </w:r>
    </w:p>
    <w:p>
      <w:pPr>
        <w:spacing w:before="156" w:beforeLines="50" w:line="300" w:lineRule="auto"/>
        <w:jc w:val="both"/>
        <w:rPr>
          <w:rFonts w:hint="eastAsia" w:ascii="宋体" w:hAnsi="宋体" w:eastAsia="宋体" w:cs="宋体"/>
          <w:b w:val="0"/>
          <w:bCs w:val="0"/>
          <w:color w:val="000000" w:themeColor="text1"/>
          <w:sz w:val="21"/>
          <w:szCs w:val="21"/>
          <w:highlight w:val="none"/>
          <w14:textFill>
            <w14:solidFill>
              <w14:schemeClr w14:val="tx1"/>
            </w14:solidFill>
          </w14:textFill>
        </w:rPr>
      </w:pPr>
    </w:p>
    <w:p>
      <w:pPr>
        <w:spacing w:before="156" w:beforeLines="50" w:line="300" w:lineRule="auto"/>
        <w:jc w:val="both"/>
        <w:rPr>
          <w:rFonts w:hint="eastAsia" w:ascii="宋体" w:hAnsi="宋体" w:eastAsia="宋体" w:cs="宋体"/>
          <w:b w:val="0"/>
          <w:bCs w:val="0"/>
          <w:color w:val="000000" w:themeColor="text1"/>
          <w:sz w:val="21"/>
          <w:szCs w:val="21"/>
          <w:highlight w:val="none"/>
          <w14:textFill>
            <w14:solidFill>
              <w14:schemeClr w14:val="tx1"/>
            </w14:solidFill>
          </w14:textFill>
        </w:rPr>
      </w:pPr>
    </w:p>
    <w:p>
      <w:pPr>
        <w:spacing w:line="360" w:lineRule="auto"/>
        <w:jc w:val="center"/>
        <w:rPr>
          <w:rFonts w:hint="eastAsia" w:ascii="宋体" w:hAnsi="宋体" w:eastAsia="宋体" w:cs="宋体"/>
          <w:b w:val="0"/>
          <w:bCs w:val="0"/>
          <w:color w:val="000000" w:themeColor="text1"/>
          <w:sz w:val="21"/>
          <w:szCs w:val="21"/>
          <w:highlight w:val="none"/>
          <w14:textFill>
            <w14:solidFill>
              <w14:schemeClr w14:val="tx1"/>
            </w14:solidFill>
          </w14:textFill>
        </w:rPr>
      </w:pPr>
    </w:p>
    <w:p>
      <w:pPr>
        <w:widowControl/>
        <w:jc w:val="left"/>
        <w:rPr>
          <w:rFonts w:hint="eastAsia" w:ascii="宋体" w:hAnsi="宋体" w:eastAsia="宋体" w:cs="宋体"/>
          <w:b w:val="0"/>
          <w:bCs w:val="0"/>
          <w:color w:val="000000" w:themeColor="text1"/>
          <w:sz w:val="21"/>
          <w:szCs w:val="21"/>
          <w:highlight w:val="none"/>
          <w14:textFill>
            <w14:solidFill>
              <w14:schemeClr w14:val="tx1"/>
            </w14:solidFill>
          </w14:textFill>
        </w:rPr>
      </w:pPr>
    </w:p>
    <w:p>
      <w:pPr>
        <w:bidi w:val="0"/>
        <w:rPr>
          <w:rFonts w:hint="eastAsia" w:ascii="宋体" w:hAnsi="宋体" w:eastAsia="宋体" w:cs="宋体"/>
          <w:b w:val="0"/>
          <w:bCs w:val="0"/>
          <w:color w:val="000000" w:themeColor="text1"/>
          <w:kern w:val="2"/>
          <w:sz w:val="21"/>
          <w:szCs w:val="21"/>
          <w:highlight w:val="none"/>
          <w:lang w:val="en-US" w:eastAsia="zh-CN" w:bidi="ar-SA"/>
          <w14:textFill>
            <w14:solidFill>
              <w14:schemeClr w14:val="tx1"/>
            </w14:solidFill>
          </w14:textFill>
        </w:rPr>
      </w:pPr>
    </w:p>
    <w:p>
      <w:pPr>
        <w:bidi w:val="0"/>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bidi w:val="0"/>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bidi w:val="0"/>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bidi w:val="0"/>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p>
      <w:pPr>
        <w:tabs>
          <w:tab w:val="left" w:pos="8946"/>
        </w:tabs>
        <w:bidi w:val="0"/>
        <w:jc w:val="right"/>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公司：********</w:t>
      </w:r>
    </w:p>
    <w:p>
      <w:pPr>
        <w:tabs>
          <w:tab w:val="left" w:pos="8946"/>
        </w:tabs>
        <w:bidi w:val="0"/>
        <w:jc w:val="right"/>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t>时间：*年*月*日</w:t>
      </w:r>
    </w:p>
    <w:p>
      <w:pPr>
        <w:jc w:val="both"/>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757994"/>
      <w:docPartObj>
        <w:docPartGallery w:val="autotext"/>
      </w:docPartObj>
    </w:sdtPr>
    <w:sdtContent>
      <w:p>
        <w:pPr>
          <w:pStyle w:val="2"/>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03D89B"/>
    <w:multiLevelType w:val="singleLevel"/>
    <w:tmpl w:val="D903D89B"/>
    <w:lvl w:ilvl="0" w:tentative="0">
      <w:start w:val="3"/>
      <w:numFmt w:val="chineseCounting"/>
      <w:suff w:val="nothing"/>
      <w:lvlText w:val="%1、"/>
      <w:lvlJc w:val="left"/>
      <w:rPr>
        <w:rFonts w:hint="eastAsia"/>
      </w:rPr>
    </w:lvl>
  </w:abstractNum>
  <w:abstractNum w:abstractNumId="1">
    <w:nsid w:val="0BC8301D"/>
    <w:multiLevelType w:val="multilevel"/>
    <w:tmpl w:val="0BC8301D"/>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152DB"/>
    <w:rsid w:val="05575546"/>
    <w:rsid w:val="06303B7D"/>
    <w:rsid w:val="080E3CDA"/>
    <w:rsid w:val="09A27CA6"/>
    <w:rsid w:val="09CC7E84"/>
    <w:rsid w:val="0B36737A"/>
    <w:rsid w:val="1031418C"/>
    <w:rsid w:val="10E72DC1"/>
    <w:rsid w:val="192D2A08"/>
    <w:rsid w:val="1CD10C81"/>
    <w:rsid w:val="2B8A11ED"/>
    <w:rsid w:val="33823717"/>
    <w:rsid w:val="33DE19C4"/>
    <w:rsid w:val="3ACB734B"/>
    <w:rsid w:val="404E3C30"/>
    <w:rsid w:val="42D5193B"/>
    <w:rsid w:val="49027A4C"/>
    <w:rsid w:val="49C46B01"/>
    <w:rsid w:val="596A6922"/>
    <w:rsid w:val="5A8A6D9B"/>
    <w:rsid w:val="5BC548EA"/>
    <w:rsid w:val="5F042D7A"/>
    <w:rsid w:val="60674629"/>
    <w:rsid w:val="651F6141"/>
    <w:rsid w:val="6C4229DB"/>
    <w:rsid w:val="6C80074E"/>
    <w:rsid w:val="6F750152"/>
    <w:rsid w:val="708C5C49"/>
    <w:rsid w:val="76E95C68"/>
    <w:rsid w:val="790824CC"/>
    <w:rsid w:val="7A5B3621"/>
    <w:rsid w:val="7B222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gongkai_content_2_title1"/>
    <w:basedOn w:val="5"/>
    <w:qFormat/>
    <w:uiPriority w:val="0"/>
    <w:rPr>
      <w:rFonts w:hint="eastAsia" w:ascii="黑体" w:hAnsi="黑体" w:eastAsia="黑体"/>
      <w:b/>
      <w:bCs/>
      <w:sz w:val="28"/>
      <w:szCs w:val="2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    ］</cp:lastModifiedBy>
  <dcterms:modified xsi:type="dcterms:W3CDTF">2020-08-14T03:37:19Z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